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9208">
      <w:pPr>
        <w:spacing w:line="64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上海立信会计金融学院</w:t>
      </w:r>
    </w:p>
    <w:p w14:paraId="65DCE185">
      <w:pPr>
        <w:spacing w:line="64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习近平法治思想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研究中心（筹）章程</w:t>
      </w:r>
    </w:p>
    <w:p w14:paraId="65C4AAC4">
      <w:pPr>
        <w:spacing w:line="560" w:lineRule="exact"/>
        <w:rPr>
          <w:rFonts w:ascii="??" w:hAnsi="??"/>
          <w:sz w:val="32"/>
          <w:szCs w:val="32"/>
        </w:rPr>
      </w:pPr>
    </w:p>
    <w:p w14:paraId="44D82048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第一章 </w:t>
      </w:r>
      <w:r>
        <w:rPr>
          <w:rFonts w:hint="eastAsia" w:ascii="黑体" w:hAnsi="黑体" w:eastAsia="黑体" w:cs="宋体"/>
          <w:b/>
          <w:sz w:val="32"/>
          <w:szCs w:val="32"/>
        </w:rPr>
        <w:t>总则</w:t>
      </w:r>
    </w:p>
    <w:p w14:paraId="325B4665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性质</w:t>
      </w:r>
    </w:p>
    <w:p w14:paraId="72A85B2B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上海立信会计金融学院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</w:t>
      </w:r>
      <w:r>
        <w:rPr>
          <w:rFonts w:hint="eastAsia" w:ascii="仿宋" w:hAnsi="仿宋" w:eastAsia="仿宋"/>
          <w:bCs/>
          <w:sz w:val="32"/>
          <w:szCs w:val="32"/>
        </w:rPr>
        <w:t>研究中心（筹）（以下简称“研究中心”）是上海立信会计金融学院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bCs/>
          <w:sz w:val="32"/>
          <w:szCs w:val="32"/>
        </w:rPr>
        <w:t>学院下设的一个以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</w:t>
      </w:r>
      <w:r>
        <w:rPr>
          <w:rFonts w:hint="eastAsia" w:ascii="仿宋" w:hAnsi="仿宋" w:eastAsia="仿宋"/>
          <w:bCs/>
          <w:sz w:val="32"/>
          <w:szCs w:val="32"/>
        </w:rPr>
        <w:t>研究为主的非实体院级机构。</w:t>
      </w:r>
      <w:bookmarkStart w:id="0" w:name="_GoBack"/>
      <w:bookmarkEnd w:id="0"/>
    </w:p>
    <w:p w14:paraId="3FBE6F97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宗旨</w:t>
      </w:r>
    </w:p>
    <w:p w14:paraId="3086976C"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为深入学习贯彻习近平法治思想，推动习近平法治思想的研究、阐释、传播与实践应用，法学院特设立习近平法治思想研究中心。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"/>
          <w:bCs/>
          <w:sz w:val="32"/>
          <w:szCs w:val="32"/>
        </w:rPr>
        <w:t>中心以马克思列宁主义、毛泽东思想、邓小平理论、“三个代表”重要思想、科学发展观、习近平新时代中国特色社会主义思想为指导，全面贯彻党的教育方针，坚持社会主义办学方向，致力于为全面依法治国、建设社会主义法治国家提供理论支持与智力保障。</w:t>
      </w:r>
    </w:p>
    <w:p w14:paraId="5974F5EA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30B03690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第二章 定位与功能</w:t>
      </w:r>
    </w:p>
    <w:p w14:paraId="7329F2F9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定位与功能</w:t>
      </w:r>
    </w:p>
    <w:p w14:paraId="2B5B314B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研究中心本中心是法学院下属的专门从事习近平法治思想研究的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教学、科研</w:t>
      </w:r>
      <w:r>
        <w:rPr>
          <w:rFonts w:hint="eastAsia" w:ascii="仿宋" w:hAnsi="仿宋" w:eastAsia="仿宋"/>
          <w:bCs/>
          <w:sz w:val="32"/>
          <w:szCs w:val="32"/>
        </w:rPr>
        <w:t>机构，依托法学院的学科优势、师资力量和学术资源开展工作，同时积极与校内外其他相关单位、机构开展合作交流，推动协同创新。</w:t>
      </w:r>
    </w:p>
    <w:p w14:paraId="17209FC2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47EE761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第三章 研究方向与目</w:t>
      </w:r>
      <w:r>
        <w:rPr>
          <w:rFonts w:hint="eastAsia" w:ascii="黑体" w:hAnsi="黑体" w:eastAsia="黑体" w:cs="宋体"/>
          <w:b/>
          <w:sz w:val="32"/>
          <w:szCs w:val="32"/>
        </w:rPr>
        <w:t>标</w:t>
      </w:r>
    </w:p>
    <w:p w14:paraId="737F6BF9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研究方向设置</w:t>
      </w:r>
    </w:p>
    <w:p w14:paraId="7A5E1355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研究中心设有两个主要研究方向：</w:t>
      </w:r>
    </w:p>
    <w:p w14:paraId="0618A908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习近平法治思想与部门法学理论研究</w:t>
      </w:r>
      <w:r>
        <w:rPr>
          <w:rFonts w:hint="eastAsia" w:ascii="仿宋" w:hAnsi="仿宋" w:eastAsia="仿宋"/>
          <w:bCs/>
          <w:sz w:val="32"/>
          <w:szCs w:val="32"/>
        </w:rPr>
        <w:t>；</w:t>
      </w:r>
    </w:p>
    <w:p w14:paraId="7B1942D6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习近平法治思想与本科法学教育研究。</w:t>
      </w:r>
    </w:p>
    <w:p w14:paraId="13260F05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研究任务</w:t>
      </w:r>
    </w:p>
    <w:p w14:paraId="4834EB66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开展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</w:t>
      </w:r>
      <w:r>
        <w:rPr>
          <w:rFonts w:hint="eastAsia" w:ascii="仿宋" w:hAnsi="仿宋" w:eastAsia="仿宋"/>
          <w:bCs/>
          <w:sz w:val="32"/>
          <w:szCs w:val="32"/>
        </w:rPr>
        <w:t>的深入研究，发表学术论文，申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报课题；</w:t>
      </w:r>
      <w:r>
        <w:rPr>
          <w:rFonts w:hint="eastAsia" w:ascii="仿宋" w:hAnsi="仿宋" w:eastAsia="仿宋"/>
          <w:bCs/>
          <w:sz w:val="32"/>
          <w:szCs w:val="32"/>
        </w:rPr>
        <w:t>承担政府部门、企事业单位等委托的咨询课题，为其提供政策建议和决策支持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；</w:t>
      </w:r>
    </w:p>
    <w:p w14:paraId="67EB8117">
      <w:pPr>
        <w:spacing w:line="560" w:lineRule="exact"/>
        <w:ind w:firstLine="640" w:firstLineChars="20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提升《习近平法治思想》课程教学质量；开展《习近平法治思想》课程教学方法创新，采用案例教学、实践教学、研讨式教学等多种教学方法，增强教学效果。将思政教育与课程教学有机融合，对学生进行法治信仰与职业道德教育。</w:t>
      </w:r>
    </w:p>
    <w:p w14:paraId="7B288254">
      <w:pPr>
        <w:spacing w:line="560" w:lineRule="exact"/>
        <w:ind w:firstLine="640" w:firstLineChars="200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加强习近平法治思想师资队伍建设，通过培训、进修、学术交流等方式，提升教师的教学水平与研究能力。</w:t>
      </w:r>
    </w:p>
    <w:p w14:paraId="70C6E491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F0F4554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第四章 </w:t>
      </w:r>
      <w:r>
        <w:rPr>
          <w:rFonts w:hint="eastAsia" w:ascii="黑体" w:hAnsi="黑体" w:eastAsia="黑体" w:cs="宋体"/>
          <w:b/>
          <w:sz w:val="32"/>
          <w:szCs w:val="32"/>
        </w:rPr>
        <w:t>组织</w:t>
      </w:r>
      <w:r>
        <w:rPr>
          <w:rFonts w:hint="eastAsia" w:ascii="黑体" w:hAnsi="黑体" w:eastAsia="黑体"/>
          <w:b/>
          <w:sz w:val="32"/>
          <w:szCs w:val="32"/>
        </w:rPr>
        <w:t>机构与人</w:t>
      </w:r>
      <w:r>
        <w:rPr>
          <w:rFonts w:hint="eastAsia" w:ascii="黑体" w:hAnsi="黑体" w:eastAsia="黑体" w:cs="宋体"/>
          <w:b/>
          <w:sz w:val="32"/>
          <w:szCs w:val="32"/>
        </w:rPr>
        <w:t>员</w:t>
      </w:r>
      <w:r>
        <w:rPr>
          <w:rFonts w:hint="eastAsia" w:ascii="黑体" w:hAnsi="黑体" w:eastAsia="黑体"/>
          <w:b/>
          <w:sz w:val="32"/>
          <w:szCs w:val="32"/>
        </w:rPr>
        <w:t>管理</w:t>
      </w:r>
    </w:p>
    <w:p w14:paraId="37E39955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第六条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组织机构</w:t>
      </w:r>
    </w:p>
    <w:p w14:paraId="31C694DB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研究中心实行主任负责制。研究中心充分发挥学校现有的人才优势，通过合作，构建一支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</w:t>
      </w:r>
      <w:r>
        <w:rPr>
          <w:rFonts w:hint="eastAsia" w:ascii="仿宋" w:hAnsi="仿宋" w:eastAsia="仿宋"/>
          <w:bCs/>
          <w:sz w:val="32"/>
          <w:szCs w:val="32"/>
        </w:rPr>
        <w:t>的研究团队。</w:t>
      </w:r>
    </w:p>
    <w:p w14:paraId="4FE18935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人员设置及职责</w:t>
      </w:r>
    </w:p>
    <w:p w14:paraId="4F4A4025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研究中心设主任1名，负责研究中心的总体筹划、管理及学术研究工作，任期三年，可连任；</w:t>
      </w:r>
    </w:p>
    <w:p w14:paraId="31C793F2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研究中心设副主任2名，协助主任开展工作，分别负责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理论</w:t>
      </w:r>
      <w:r>
        <w:rPr>
          <w:rFonts w:hint="eastAsia" w:ascii="Times New Roman" w:hAnsi="Times New Roman" w:eastAsia="仿宋"/>
          <w:sz w:val="32"/>
          <w:szCs w:val="32"/>
        </w:rPr>
        <w:t>实践研究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和学生思政教育</w:t>
      </w:r>
      <w:r>
        <w:rPr>
          <w:rFonts w:hint="eastAsia" w:ascii="Times New Roman" w:hAnsi="Times New Roman" w:eastAsia="仿宋"/>
          <w:sz w:val="32"/>
          <w:szCs w:val="32"/>
        </w:rPr>
        <w:t>工作；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其中，</w:t>
      </w:r>
      <w:r>
        <w:rPr>
          <w:rFonts w:hint="eastAsia" w:ascii="Times New Roman" w:hAnsi="Times New Roman" w:eastAsia="仿宋"/>
          <w:sz w:val="32"/>
          <w:szCs w:val="32"/>
        </w:rPr>
        <w:t>研究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"/>
          <w:sz w:val="32"/>
          <w:szCs w:val="32"/>
        </w:rPr>
        <w:t>理论实践研究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仿宋"/>
          <w:sz w:val="32"/>
          <w:szCs w:val="32"/>
        </w:rPr>
        <w:t>主任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负责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习近平法治思想</w:t>
      </w:r>
      <w:r>
        <w:rPr>
          <w:rFonts w:hint="eastAsia" w:ascii="Times New Roman" w:hAnsi="Times New Roman" w:eastAsia="仿宋"/>
          <w:sz w:val="32"/>
          <w:szCs w:val="32"/>
        </w:rPr>
        <w:t>理论研究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课程建设</w:t>
      </w:r>
      <w:r>
        <w:rPr>
          <w:rFonts w:hint="eastAsia" w:ascii="Times New Roman" w:hAnsi="Times New Roman" w:eastAsia="仿宋"/>
          <w:sz w:val="32"/>
          <w:szCs w:val="32"/>
        </w:rPr>
        <w:t>相关工作；研究中心设学生思政教育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仿宋"/>
          <w:sz w:val="32"/>
          <w:szCs w:val="32"/>
        </w:rPr>
        <w:t>主任负责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学生思政教育、法治教学实践</w:t>
      </w:r>
      <w:r>
        <w:rPr>
          <w:rFonts w:hint="eastAsia" w:ascii="Times New Roman" w:hAnsi="Times New Roman" w:eastAsia="仿宋"/>
          <w:sz w:val="32"/>
          <w:szCs w:val="32"/>
        </w:rPr>
        <w:t>等方面的工作；</w:t>
      </w:r>
    </w:p>
    <w:p w14:paraId="50838714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研究中心设研究成员5名，负责科研基础工作和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教学</w:t>
      </w:r>
      <w:r>
        <w:rPr>
          <w:rFonts w:hint="eastAsia" w:ascii="Times New Roman" w:hAnsi="Times New Roman" w:eastAsia="仿宋"/>
          <w:sz w:val="32"/>
          <w:szCs w:val="32"/>
        </w:rPr>
        <w:t>研究基础工作。</w:t>
      </w:r>
    </w:p>
    <w:p w14:paraId="33B4A64A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第八条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科研人员聘任与管理</w:t>
      </w:r>
    </w:p>
    <w:p w14:paraId="345C3CC6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研究成员的聘任和管理参照学校相关规定执行，实行合同管理，明确双方的权利与义务。研究中心定期对研究员进行考核，根据考核结果予以奖惩。</w:t>
      </w:r>
    </w:p>
    <w:p w14:paraId="31C1E8B8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5194543E">
      <w:pPr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第五章 </w:t>
      </w:r>
      <w:r>
        <w:rPr>
          <w:rFonts w:hint="eastAsia" w:ascii="黑体" w:hAnsi="黑体" w:eastAsia="黑体" w:cs="宋体"/>
          <w:b/>
          <w:sz w:val="32"/>
          <w:szCs w:val="32"/>
        </w:rPr>
        <w:t>资</w:t>
      </w:r>
      <w:r>
        <w:rPr>
          <w:rFonts w:hint="eastAsia" w:ascii="黑体" w:hAnsi="黑体" w:eastAsia="黑体"/>
          <w:b/>
          <w:sz w:val="32"/>
          <w:szCs w:val="32"/>
        </w:rPr>
        <w:t>金筹措与管理</w:t>
      </w:r>
    </w:p>
    <w:p w14:paraId="42709FF8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第九条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项目来源与经费来源</w:t>
      </w:r>
    </w:p>
    <w:p w14:paraId="1479A790">
      <w:pPr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研究中心经费来源主要包括：各类纵向课题经费；企事业单位委托项目经费；社会和企业捐赠</w:t>
      </w:r>
      <w:r>
        <w:rPr>
          <w:rFonts w:hint="eastAsia" w:ascii="Times New Roman" w:hAnsi="Times New Roman" w:eastAsia="仿宋"/>
          <w:bCs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学院配套经费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 w14:paraId="552D16C8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经费管理和使用</w:t>
      </w:r>
    </w:p>
    <w:p w14:paraId="3DCFD42B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经费管理和使用参照学校相关规定执行。</w:t>
      </w:r>
    </w:p>
    <w:p w14:paraId="7E1B4F39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90B4378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第六章 知</w:t>
      </w:r>
      <w:r>
        <w:rPr>
          <w:rFonts w:hint="eastAsia" w:ascii="黑体" w:hAnsi="黑体" w:eastAsia="黑体" w:cs="宋体"/>
          <w:b/>
          <w:sz w:val="32"/>
          <w:szCs w:val="32"/>
        </w:rPr>
        <w:t>识产权</w:t>
      </w:r>
      <w:r>
        <w:rPr>
          <w:rFonts w:hint="eastAsia" w:ascii="黑体" w:hAnsi="黑体" w:eastAsia="黑体"/>
          <w:b/>
          <w:sz w:val="32"/>
          <w:szCs w:val="32"/>
        </w:rPr>
        <w:t>与成果</w:t>
      </w:r>
      <w:r>
        <w:rPr>
          <w:rFonts w:hint="eastAsia" w:ascii="黑体" w:hAnsi="黑体" w:eastAsia="黑体" w:cs="宋体"/>
          <w:b/>
          <w:sz w:val="32"/>
          <w:szCs w:val="32"/>
        </w:rPr>
        <w:t>转</w:t>
      </w:r>
      <w:r>
        <w:rPr>
          <w:rFonts w:hint="eastAsia" w:ascii="黑体" w:hAnsi="黑体" w:eastAsia="黑体"/>
          <w:b/>
          <w:sz w:val="32"/>
          <w:szCs w:val="32"/>
        </w:rPr>
        <w:t>化</w:t>
      </w:r>
    </w:p>
    <w:p w14:paraId="7028483B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第十一条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知识产权归属与成果转化</w:t>
      </w:r>
    </w:p>
    <w:p w14:paraId="52FF57EE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知识产权归属和成果转化参照学校相关规定执行，鼓励研究员积极申请专利、软件著作权等知识产权，并推动研究成果的转化和应用。</w:t>
      </w:r>
    </w:p>
    <w:p w14:paraId="3009D88A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第七章 附</w:t>
      </w:r>
      <w:r>
        <w:rPr>
          <w:rFonts w:hint="eastAsia" w:ascii="黑体" w:hAnsi="黑体" w:eastAsia="黑体" w:cs="宋体"/>
          <w:b/>
          <w:sz w:val="32"/>
          <w:szCs w:val="32"/>
        </w:rPr>
        <w:t>则</w:t>
      </w:r>
    </w:p>
    <w:p w14:paraId="04C4ECDE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第十二条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章程修订与解释权</w:t>
      </w:r>
    </w:p>
    <w:p w14:paraId="11BFC61C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（一）本章程由研究中心负责修订、变更，修订和变更需经学校批准。</w:t>
      </w:r>
    </w:p>
    <w:p w14:paraId="051FE243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（二）本章程解释权归属上海立信会计金融学院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</w:t>
      </w:r>
      <w:r>
        <w:rPr>
          <w:rFonts w:hint="eastAsia" w:ascii="仿宋" w:hAnsi="仿宋" w:eastAsia="仿宋"/>
          <w:bCs/>
          <w:sz w:val="32"/>
          <w:szCs w:val="32"/>
        </w:rPr>
        <w:t>研究中心。</w:t>
      </w:r>
    </w:p>
    <w:p w14:paraId="0A0925D1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3337DFC2">
      <w:pPr>
        <w:spacing w:line="5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第八章 其他事</w:t>
      </w:r>
      <w:r>
        <w:rPr>
          <w:rFonts w:hint="eastAsia" w:ascii="黑体" w:hAnsi="黑体" w:eastAsia="黑体" w:cs="宋体"/>
          <w:b/>
          <w:sz w:val="32"/>
          <w:szCs w:val="32"/>
        </w:rPr>
        <w:t>项</w:t>
      </w:r>
    </w:p>
    <w:p w14:paraId="018FF0E5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第十三条</w:t>
      </w:r>
      <w:r>
        <w:rPr>
          <w:rFonts w:ascii="Calibri" w:hAnsi="Calibri" w:eastAsia="仿宋" w:cs="Calibri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保证科研机构正常运行的其他事项</w:t>
      </w:r>
    </w:p>
    <w:p w14:paraId="0A192563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研究中心应建立健全内部管理制度，包括科研管理、人员管理、财务管理等，确保研究中心的正常运行。同时，加强与国内外相关科研机构的合作与交流，共同推动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习近平法治思想</w:t>
      </w:r>
      <w:r>
        <w:rPr>
          <w:rFonts w:hint="eastAsia" w:ascii="仿宋" w:hAnsi="仿宋" w:eastAsia="仿宋"/>
          <w:bCs/>
          <w:sz w:val="32"/>
          <w:szCs w:val="32"/>
        </w:rPr>
        <w:t>研究。</w:t>
      </w:r>
    </w:p>
    <w:p w14:paraId="21F9CFF2">
      <w:pPr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本章程自发布之日起生效实施。如有未尽事宜，可根据实际情况进行修订。</w:t>
      </w:r>
    </w:p>
    <w:p w14:paraId="0A08605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0A1B8-669C-4264-A84B-7D39BB730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2B27CD-F401-4B64-B7C8-805938DFB4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E28784-8E5A-48C8-89D1-86BBB959B7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AB8FC8C-694F-491B-8C95-3BCE53ECD287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CDF1D4A-BB91-48C5-8ACD-CE2A4F7D69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B6E7">
    <w:pPr>
      <w:pStyle w:val="2"/>
      <w:framePr w:wrap="around" w:vAnchor="text" w:hAnchor="margin" w:xAlign="center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04E0BC46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CEC8E">
    <w:pPr>
      <w:pStyle w:val="2"/>
      <w:framePr w:wrap="around" w:vAnchor="text" w:hAnchor="margin" w:xAlign="center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F2BFF4B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54662"/>
    <w:rsid w:val="172C5F05"/>
    <w:rsid w:val="20954662"/>
    <w:rsid w:val="2FE3296E"/>
    <w:rsid w:val="6AB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1431</Words>
  <Characters>1431</Characters>
  <Lines>0</Lines>
  <Paragraphs>0</Paragraphs>
  <TotalTime>0</TotalTime>
  <ScaleCrop>false</ScaleCrop>
  <LinksUpToDate>false</LinksUpToDate>
  <CharactersWithSpaces>1452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2025-07-30T06:43:00Z</dcterms:created>
  <dc:creator>怪PANDA</dc:creator>
  <cp:lastModifiedBy>沈胖胖</cp:lastModifiedBy>
  <dcterms:modified xsi:type="dcterms:W3CDTF">2025-11-04T04:44:14Z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B77E1492419541C9BE44658A9EE79A82_13</vt:lpwstr>
  </property>
  <property fmtid="{D5CDD505-2E9C-101B-9397-08002B2CF9AE}" pid="4" name="KSOTemplateDocerSaveRecord">
    <vt:lpwstr>eyJoZGlkIjoiZjFmZWM3ZjhkZGJiZjUwNjY0MzU2MDViYjcxZTg2MWQiLCJ1c2VySWQiOiI0NTQyMDE3ODQifQ==</vt:lpwstr>
  </property>
</Properties>
</file>