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0F184" w14:textId="77777777" w:rsidR="007F46B8" w:rsidRDefault="00961DF0">
      <w:pPr>
        <w:spacing w:line="6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微软雅黑" w:cs="微软雅黑" w:hint="eastAsia"/>
          <w:sz w:val="44"/>
          <w:szCs w:val="44"/>
        </w:rPr>
        <w:t>上海立信会计金融学院</w:t>
      </w:r>
    </w:p>
    <w:p w14:paraId="014E17F1" w14:textId="238A9C38" w:rsidR="007F46B8" w:rsidRDefault="00B36DE8">
      <w:pPr>
        <w:spacing w:line="6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OLE_LINK3"/>
      <w:bookmarkStart w:id="1" w:name="OLE_LINK4"/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立信</w:t>
      </w:r>
      <w:r>
        <w:rPr>
          <w:rFonts w:ascii="方正小标宋简体" w:eastAsia="方正小标宋简体" w:hAnsi="Times New Roman" w:cs="Times New Roman"/>
          <w:bCs/>
          <w:sz w:val="44"/>
          <w:szCs w:val="44"/>
        </w:rPr>
        <w:t>-</w:t>
      </w: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华政财经立法教研</w:t>
      </w:r>
      <w:r w:rsidR="00961DF0">
        <w:rPr>
          <w:rFonts w:ascii="方正小标宋简体" w:eastAsia="方正小标宋简体" w:hAnsi="微软雅黑" w:cs="微软雅黑" w:hint="eastAsia"/>
          <w:sz w:val="44"/>
          <w:szCs w:val="44"/>
        </w:rPr>
        <w:t>中心</w:t>
      </w:r>
      <w:bookmarkEnd w:id="0"/>
      <w:bookmarkEnd w:id="1"/>
      <w:r w:rsidR="00961DF0">
        <w:rPr>
          <w:rFonts w:ascii="方正小标宋简体" w:eastAsia="方正小标宋简体" w:hAnsi="微软雅黑" w:cs="微软雅黑" w:hint="eastAsia"/>
          <w:sz w:val="44"/>
          <w:szCs w:val="44"/>
        </w:rPr>
        <w:t>建设方案</w:t>
      </w:r>
    </w:p>
    <w:p w14:paraId="2BF93ADD" w14:textId="77777777" w:rsidR="007F46B8" w:rsidRDefault="007F46B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354009D" w14:textId="77777777" w:rsidR="007F46B8" w:rsidRDefault="00961DF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</w:t>
      </w:r>
      <w:r>
        <w:rPr>
          <w:rFonts w:ascii="Times New Roman" w:eastAsia="黑体" w:hAnsi="Times New Roman" w:cs="Times New Roman" w:hint="eastAsia"/>
          <w:sz w:val="32"/>
          <w:szCs w:val="32"/>
        </w:rPr>
        <w:t>中心</w:t>
      </w:r>
      <w:r>
        <w:rPr>
          <w:rFonts w:ascii="Times New Roman" w:eastAsia="黑体" w:hAnsi="Times New Roman" w:cs="Times New Roman"/>
          <w:sz w:val="32"/>
          <w:szCs w:val="32"/>
        </w:rPr>
        <w:t>宗旨</w:t>
      </w:r>
    </w:p>
    <w:p w14:paraId="43F44C34" w14:textId="36600455" w:rsidR="007F46B8" w:rsidRDefault="00483A9C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bookmarkStart w:id="2" w:name="OLE_LINK1"/>
      <w:r>
        <w:rPr>
          <w:rFonts w:ascii="Times New Roman" w:eastAsia="仿宋" w:hAnsi="Times New Roman" w:cs="Times New Roman" w:hint="eastAsia"/>
          <w:bCs/>
          <w:sz w:val="32"/>
          <w:szCs w:val="32"/>
        </w:rPr>
        <w:t>在当今复杂多变的法治</w:t>
      </w:r>
      <w:r w:rsidR="00961DF0">
        <w:rPr>
          <w:rFonts w:ascii="Times New Roman" w:eastAsia="仿宋" w:hAnsi="Times New Roman" w:cs="Times New Roman" w:hint="eastAsia"/>
          <w:bCs/>
          <w:sz w:val="32"/>
          <w:szCs w:val="32"/>
        </w:rPr>
        <w:t>环境下，</w:t>
      </w:r>
      <w:r w:rsidR="00B36DE8">
        <w:rPr>
          <w:rFonts w:ascii="Times New Roman" w:eastAsia="仿宋" w:hAnsi="Times New Roman" w:cs="Times New Roman" w:hint="eastAsia"/>
          <w:bCs/>
          <w:sz w:val="32"/>
          <w:szCs w:val="32"/>
        </w:rPr>
        <w:t>财经法律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通过对各类经济活动的规范与协调，为法治国家</w:t>
      </w:r>
      <w:r w:rsidR="00961DF0">
        <w:rPr>
          <w:rFonts w:ascii="Times New Roman" w:eastAsia="仿宋" w:hAnsi="Times New Roman" w:cs="Times New Roman" w:hint="eastAsia"/>
          <w:bCs/>
          <w:sz w:val="32"/>
          <w:szCs w:val="32"/>
        </w:rPr>
        <w:t>目标的实现提供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了有力支持。随着法治国家</w:t>
      </w:r>
      <w:r w:rsidR="00B36DE8">
        <w:rPr>
          <w:rFonts w:ascii="Times New Roman" w:eastAsia="仿宋" w:hAnsi="Times New Roman" w:cs="Times New Roman" w:hint="eastAsia"/>
          <w:bCs/>
          <w:sz w:val="32"/>
          <w:szCs w:val="32"/>
        </w:rPr>
        <w:t>理念的深入践行，开展财经立法</w:t>
      </w:r>
      <w:r w:rsidR="005149C3">
        <w:rPr>
          <w:rFonts w:ascii="Times New Roman" w:eastAsia="仿宋" w:hAnsi="Times New Roman" w:cs="Times New Roman" w:hint="eastAsia"/>
          <w:bCs/>
          <w:sz w:val="32"/>
          <w:szCs w:val="32"/>
        </w:rPr>
        <w:t>教研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，可以服务于政府治理体系与治理能力现代化，为政府规范运行</w:t>
      </w:r>
      <w:r w:rsidR="00961DF0">
        <w:rPr>
          <w:rFonts w:ascii="Times New Roman" w:eastAsia="仿宋" w:hAnsi="Times New Roman" w:cs="Times New Roman" w:hint="eastAsia"/>
          <w:bCs/>
          <w:sz w:val="32"/>
          <w:szCs w:val="32"/>
        </w:rPr>
        <w:t>、防范重大风险、提高公共服务质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量</w:t>
      </w:r>
      <w:r w:rsidR="005149C3">
        <w:rPr>
          <w:rFonts w:ascii="Times New Roman" w:eastAsia="仿宋" w:hAnsi="Times New Roman" w:cs="Times New Roman" w:hint="eastAsia"/>
          <w:bCs/>
          <w:sz w:val="32"/>
          <w:szCs w:val="32"/>
        </w:rPr>
        <w:t>，培养高水平财经法律人才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等方面提供决策参考</w:t>
      </w:r>
      <w:bookmarkStart w:id="3" w:name="_GoBack"/>
      <w:bookmarkEnd w:id="3"/>
      <w:r>
        <w:rPr>
          <w:rFonts w:ascii="Times New Roman" w:eastAsia="仿宋" w:hAnsi="Times New Roman" w:cs="Times New Roman" w:hint="eastAsia"/>
          <w:bCs/>
          <w:sz w:val="32"/>
          <w:szCs w:val="32"/>
        </w:rPr>
        <w:t>，进而推动经济社会高质量发展。为了提升</w:t>
      </w:r>
      <w:r w:rsidR="0032751F">
        <w:rPr>
          <w:rFonts w:ascii="Times New Roman" w:eastAsia="仿宋" w:hAnsi="Times New Roman" w:cs="Times New Roman" w:hint="eastAsia"/>
          <w:bCs/>
          <w:sz w:val="32"/>
          <w:szCs w:val="32"/>
        </w:rPr>
        <w:t>财经立法的教学与研究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水平，以及财经特色院校服务社会经济建设和法治治理</w:t>
      </w:r>
      <w:r w:rsidR="00961DF0">
        <w:rPr>
          <w:rFonts w:ascii="Times New Roman" w:eastAsia="仿宋" w:hAnsi="Times New Roman" w:cs="Times New Roman" w:hint="eastAsia"/>
          <w:bCs/>
          <w:sz w:val="32"/>
          <w:szCs w:val="32"/>
        </w:rPr>
        <w:t>能力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的现代化，上海立信会计金融学院法</w:t>
      </w:r>
      <w:r w:rsidR="00961DF0">
        <w:rPr>
          <w:rFonts w:ascii="Times New Roman" w:eastAsia="仿宋" w:hAnsi="Times New Roman" w:cs="Times New Roman" w:hint="eastAsia"/>
          <w:bCs/>
          <w:sz w:val="32"/>
          <w:szCs w:val="32"/>
        </w:rPr>
        <w:t>学院拟设立</w:t>
      </w:r>
      <w:bookmarkEnd w:id="2"/>
      <w:r w:rsidR="0032751F" w:rsidRPr="0032751F">
        <w:rPr>
          <w:rFonts w:ascii="Times New Roman" w:eastAsia="仿宋" w:hAnsi="Times New Roman" w:cs="Times New Roman" w:hint="eastAsia"/>
          <w:bCs/>
          <w:sz w:val="32"/>
          <w:szCs w:val="32"/>
        </w:rPr>
        <w:t>立信</w:t>
      </w:r>
      <w:r w:rsidR="0032751F" w:rsidRPr="0032751F">
        <w:rPr>
          <w:rFonts w:ascii="Times New Roman" w:eastAsia="仿宋" w:hAnsi="Times New Roman" w:cs="Times New Roman" w:hint="eastAsia"/>
          <w:bCs/>
          <w:sz w:val="32"/>
          <w:szCs w:val="32"/>
        </w:rPr>
        <w:t>-</w:t>
      </w:r>
      <w:r w:rsidR="0032751F" w:rsidRPr="0032751F">
        <w:rPr>
          <w:rFonts w:ascii="Times New Roman" w:eastAsia="仿宋" w:hAnsi="Times New Roman" w:cs="Times New Roman" w:hint="eastAsia"/>
          <w:bCs/>
          <w:sz w:val="32"/>
          <w:szCs w:val="32"/>
        </w:rPr>
        <w:t>华政</w:t>
      </w:r>
      <w:bookmarkStart w:id="4" w:name="OLE_LINK5"/>
      <w:bookmarkStart w:id="5" w:name="OLE_LINK6"/>
      <w:r w:rsidR="0032751F" w:rsidRPr="0032751F">
        <w:rPr>
          <w:rFonts w:ascii="Times New Roman" w:eastAsia="仿宋" w:hAnsi="Times New Roman" w:cs="Times New Roman" w:hint="eastAsia"/>
          <w:bCs/>
          <w:sz w:val="32"/>
          <w:szCs w:val="32"/>
        </w:rPr>
        <w:t>财经立法教研</w:t>
      </w:r>
      <w:bookmarkEnd w:id="4"/>
      <w:bookmarkEnd w:id="5"/>
      <w:r w:rsidR="0032751F" w:rsidRPr="0032751F">
        <w:rPr>
          <w:rFonts w:ascii="Times New Roman" w:eastAsia="仿宋" w:hAnsi="Times New Roman" w:cs="Times New Roman" w:hint="eastAsia"/>
          <w:bCs/>
          <w:sz w:val="32"/>
          <w:szCs w:val="32"/>
        </w:rPr>
        <w:t>中心</w:t>
      </w:r>
      <w:r w:rsidR="00961DF0">
        <w:rPr>
          <w:rFonts w:ascii="Times New Roman" w:eastAsia="仿宋" w:hAnsi="Times New Roman" w:cs="Times New Roman" w:hint="eastAsia"/>
          <w:bCs/>
          <w:sz w:val="32"/>
          <w:szCs w:val="32"/>
        </w:rPr>
        <w:t>（以下简称“研究中心”），该研究中心为</w:t>
      </w:r>
      <w:r w:rsidR="007F66FF">
        <w:rPr>
          <w:rFonts w:ascii="Times New Roman" w:eastAsia="仿宋" w:hAnsi="Times New Roman" w:cs="Times New Roman" w:hint="eastAsia"/>
          <w:bCs/>
          <w:sz w:val="32"/>
          <w:szCs w:val="32"/>
        </w:rPr>
        <w:t>非实体院级科研机构</w:t>
      </w:r>
      <w:r w:rsidR="00961DF0">
        <w:rPr>
          <w:rFonts w:ascii="Times New Roman" w:eastAsia="仿宋" w:hAnsi="Times New Roman" w:cs="Times New Roman" w:hint="eastAsia"/>
          <w:bCs/>
          <w:sz w:val="32"/>
          <w:szCs w:val="32"/>
        </w:rPr>
        <w:t>。</w:t>
      </w:r>
    </w:p>
    <w:p w14:paraId="2C419B37" w14:textId="03E21A1F" w:rsidR="007F46B8" w:rsidRDefault="00961DF0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</w:rPr>
        <w:t>研究</w:t>
      </w:r>
      <w:r>
        <w:rPr>
          <w:rFonts w:ascii="Times New Roman" w:eastAsia="仿宋" w:hAnsi="Times New Roman" w:cs="Times New Roman"/>
          <w:bCs/>
          <w:sz w:val="32"/>
          <w:szCs w:val="32"/>
        </w:rPr>
        <w:t>中心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的宗旨是深入研究构建</w:t>
      </w:r>
      <w:r w:rsidR="0032751F" w:rsidRPr="0032751F">
        <w:rPr>
          <w:rFonts w:ascii="Times New Roman" w:eastAsia="仿宋" w:hAnsi="Times New Roman" w:cs="Times New Roman" w:hint="eastAsia"/>
          <w:bCs/>
          <w:sz w:val="32"/>
          <w:szCs w:val="32"/>
        </w:rPr>
        <w:t>财经立法教研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理论体系，探索</w:t>
      </w:r>
      <w:r w:rsidR="0032751F" w:rsidRPr="0032751F">
        <w:rPr>
          <w:rFonts w:ascii="Times New Roman" w:eastAsia="仿宋" w:hAnsi="Times New Roman" w:cs="Times New Roman" w:hint="eastAsia"/>
          <w:bCs/>
          <w:sz w:val="32"/>
          <w:szCs w:val="32"/>
        </w:rPr>
        <w:t>财经立法教研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服务国家</w:t>
      </w:r>
      <w:r w:rsidR="00483A9C">
        <w:rPr>
          <w:rFonts w:ascii="Times New Roman" w:eastAsia="仿宋" w:hAnsi="Times New Roman" w:cs="Times New Roman" w:hint="eastAsia"/>
          <w:bCs/>
          <w:sz w:val="32"/>
          <w:szCs w:val="32"/>
        </w:rPr>
        <w:t>法治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战略，以及在推动</w:t>
      </w:r>
      <w:r w:rsidR="00483A9C">
        <w:rPr>
          <w:rFonts w:ascii="Times New Roman" w:eastAsia="仿宋" w:hAnsi="Times New Roman" w:cs="Times New Roman" w:hint="eastAsia"/>
          <w:bCs/>
          <w:sz w:val="32"/>
          <w:szCs w:val="32"/>
        </w:rPr>
        <w:t>法治建设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中的创新路径，为</w:t>
      </w:r>
      <w:r w:rsidR="00483A9C">
        <w:rPr>
          <w:rFonts w:ascii="Times New Roman" w:eastAsia="仿宋" w:hAnsi="Times New Roman" w:cs="Times New Roman" w:hint="eastAsia"/>
          <w:bCs/>
          <w:sz w:val="32"/>
          <w:szCs w:val="32"/>
        </w:rPr>
        <w:t>政府决策、企业转型和社会治理提供科学依据和解决方案，进而推动法学</w:t>
      </w:r>
      <w:r w:rsidR="0032751F">
        <w:rPr>
          <w:rFonts w:ascii="Times New Roman" w:eastAsia="仿宋" w:hAnsi="Times New Roman" w:cs="Times New Roman" w:hint="eastAsia"/>
          <w:bCs/>
          <w:sz w:val="32"/>
          <w:szCs w:val="32"/>
        </w:rPr>
        <w:t>人才培养和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学科发展</w:t>
      </w:r>
      <w:r>
        <w:rPr>
          <w:rFonts w:ascii="仿宋" w:eastAsia="仿宋" w:hAnsi="仿宋" w:hint="eastAsia"/>
          <w:bCs/>
          <w:sz w:val="32"/>
          <w:szCs w:val="32"/>
        </w:rPr>
        <w:t>。</w:t>
      </w:r>
    </w:p>
    <w:p w14:paraId="08F4D409" w14:textId="77777777" w:rsidR="007F46B8" w:rsidRDefault="00961DF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二、建设目标</w:t>
      </w:r>
    </w:p>
    <w:p w14:paraId="3E6E1C7A" w14:textId="51FF4491" w:rsidR="007F46B8" w:rsidRDefault="00961DF0">
      <w:pPr>
        <w:spacing w:line="560" w:lineRule="exact"/>
        <w:ind w:firstLineChars="200" w:firstLine="643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总体目标：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以国内一流大学</w:t>
      </w:r>
      <w:r w:rsidR="0032751F" w:rsidRPr="0032751F">
        <w:rPr>
          <w:rFonts w:ascii="Times New Roman" w:eastAsia="仿宋" w:hAnsi="Times New Roman" w:cs="Times New Roman" w:hint="eastAsia"/>
          <w:bCs/>
          <w:sz w:val="32"/>
          <w:szCs w:val="32"/>
        </w:rPr>
        <w:t>财经立法教研</w:t>
      </w:r>
      <w:r w:rsidR="00483A9C">
        <w:rPr>
          <w:rFonts w:ascii="Times New Roman" w:eastAsia="仿宋" w:hAnsi="Times New Roman" w:cs="Times New Roman" w:hint="eastAsia"/>
          <w:bCs/>
          <w:sz w:val="32"/>
          <w:szCs w:val="32"/>
        </w:rPr>
        <w:t>机构为标杆，以财经类高校为特色，以法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学院为依托，将研究中心建设成为国内、国际上具有影响力的</w:t>
      </w:r>
      <w:r w:rsidR="0032751F" w:rsidRPr="0032751F">
        <w:rPr>
          <w:rFonts w:ascii="Times New Roman" w:eastAsia="仿宋" w:hAnsi="Times New Roman" w:cs="Times New Roman" w:hint="eastAsia"/>
          <w:bCs/>
          <w:sz w:val="32"/>
          <w:szCs w:val="32"/>
        </w:rPr>
        <w:t>财经立法教研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的重要基地。</w:t>
      </w:r>
    </w:p>
    <w:p w14:paraId="44AE6DAD" w14:textId="77777777" w:rsidR="007F46B8" w:rsidRDefault="00961DF0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具体目标：</w:t>
      </w:r>
    </w:p>
    <w:p w14:paraId="5C8A5212" w14:textId="6EB72F01" w:rsidR="007F46B8" w:rsidRDefault="00961DF0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．建立具有国内影响力的</w:t>
      </w:r>
      <w:r w:rsidR="0032751F" w:rsidRPr="0032751F">
        <w:rPr>
          <w:rFonts w:ascii="Times New Roman" w:eastAsia="仿宋" w:hAnsi="Times New Roman" w:cs="Times New Roman" w:hint="eastAsia"/>
          <w:bCs/>
          <w:sz w:val="32"/>
          <w:szCs w:val="32"/>
        </w:rPr>
        <w:t>财经立法教研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平台；</w:t>
      </w:r>
    </w:p>
    <w:p w14:paraId="417B6D28" w14:textId="601EF29B" w:rsidR="007F46B8" w:rsidRDefault="00961DF0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</w:rPr>
        <w:lastRenderedPageBreak/>
        <w:t>2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．培育高水平的</w:t>
      </w:r>
      <w:r w:rsidR="0032751F" w:rsidRPr="0032751F">
        <w:rPr>
          <w:rFonts w:ascii="Times New Roman" w:eastAsia="仿宋" w:hAnsi="Times New Roman" w:cs="Times New Roman" w:hint="eastAsia"/>
          <w:bCs/>
          <w:sz w:val="32"/>
          <w:szCs w:val="32"/>
        </w:rPr>
        <w:t>财经立法教研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团队；</w:t>
      </w:r>
    </w:p>
    <w:p w14:paraId="337722B1" w14:textId="77777777" w:rsidR="007F46B8" w:rsidRDefault="00961DF0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．通过决策咨询为中国式现代化的早日实现</w:t>
      </w:r>
      <w:proofErr w:type="gramStart"/>
      <w:r>
        <w:rPr>
          <w:rFonts w:ascii="Times New Roman" w:eastAsia="仿宋" w:hAnsi="Times New Roman" w:cs="Times New Roman" w:hint="eastAsia"/>
          <w:bCs/>
          <w:sz w:val="32"/>
          <w:szCs w:val="32"/>
        </w:rPr>
        <w:t>提供智库支持</w:t>
      </w:r>
      <w:proofErr w:type="gramEnd"/>
      <w:r>
        <w:rPr>
          <w:rFonts w:ascii="Times New Roman" w:eastAsia="仿宋" w:hAnsi="Times New Roman" w:cs="Times New Roman" w:hint="eastAsia"/>
          <w:bCs/>
          <w:sz w:val="32"/>
          <w:szCs w:val="32"/>
        </w:rPr>
        <w:t>，助力实现理论向实践的成果转化。</w:t>
      </w:r>
    </w:p>
    <w:p w14:paraId="7C7AB215" w14:textId="77777777" w:rsidR="007F46B8" w:rsidRDefault="00961DF0">
      <w:pPr>
        <w:numPr>
          <w:ilvl w:val="0"/>
          <w:numId w:val="1"/>
        </w:num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方向与团队</w:t>
      </w:r>
    </w:p>
    <w:p w14:paraId="31A945DE" w14:textId="3025F471" w:rsidR="007F46B8" w:rsidRDefault="00961DF0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</w:rPr>
        <w:t>研究中心设有</w:t>
      </w:r>
      <w:bookmarkStart w:id="6" w:name="OLE_LINK7"/>
      <w:bookmarkStart w:id="7" w:name="OLE_LINK8"/>
      <w:r w:rsidR="0032751F" w:rsidRPr="0032751F">
        <w:rPr>
          <w:rFonts w:ascii="Times New Roman" w:eastAsia="仿宋" w:hAnsi="Times New Roman" w:cs="Times New Roman" w:hint="eastAsia"/>
          <w:bCs/>
          <w:sz w:val="32"/>
          <w:szCs w:val="32"/>
        </w:rPr>
        <w:t>财经立法教研</w:t>
      </w:r>
      <w:bookmarkEnd w:id="6"/>
      <w:bookmarkEnd w:id="7"/>
      <w:r>
        <w:rPr>
          <w:rFonts w:ascii="Times New Roman" w:eastAsia="仿宋" w:hAnsi="Times New Roman" w:cs="Times New Roman" w:hint="eastAsia"/>
          <w:bCs/>
          <w:sz w:val="32"/>
          <w:szCs w:val="32"/>
        </w:rPr>
        <w:t>的理论学术研究、</w:t>
      </w:r>
      <w:r w:rsidR="0032751F" w:rsidRPr="0032751F">
        <w:rPr>
          <w:rFonts w:ascii="Times New Roman" w:eastAsia="仿宋" w:hAnsi="Times New Roman" w:cs="Times New Roman" w:hint="eastAsia"/>
          <w:bCs/>
          <w:sz w:val="32"/>
          <w:szCs w:val="32"/>
        </w:rPr>
        <w:t>财经立法教研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决策咨询研究等方向。</w:t>
      </w:r>
    </w:p>
    <w:p w14:paraId="2CB2DBF3" w14:textId="6B99A0A8" w:rsidR="007F46B8" w:rsidRDefault="00961DF0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</w:rPr>
        <w:t>研究中心设主任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名，由</w:t>
      </w:r>
      <w:r w:rsidR="00483A9C">
        <w:rPr>
          <w:rFonts w:ascii="Times New Roman" w:eastAsia="仿宋" w:hAnsi="Times New Roman" w:cs="Times New Roman" w:hint="eastAsia"/>
          <w:bCs/>
          <w:sz w:val="32"/>
          <w:szCs w:val="32"/>
        </w:rPr>
        <w:t>王旭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教授担任；副主任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名，研究员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人。</w:t>
      </w:r>
    </w:p>
    <w:p w14:paraId="73E7D001" w14:textId="77777777" w:rsidR="007F46B8" w:rsidRDefault="00961DF0">
      <w:pPr>
        <w:spacing w:line="56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四、经费来源</w:t>
      </w:r>
    </w:p>
    <w:p w14:paraId="11508BEF" w14:textId="77777777" w:rsidR="007F46B8" w:rsidRDefault="00961DF0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</w:rPr>
        <w:t>研究中心经费来源主要包括：各类纵向课题经费；企事业单位委托项目经费；社会和企业捐赠。</w:t>
      </w:r>
    </w:p>
    <w:p w14:paraId="34C9F0E9" w14:textId="77777777" w:rsidR="007F46B8" w:rsidRDefault="00961DF0">
      <w:pPr>
        <w:spacing w:line="56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五、组织架构</w:t>
      </w:r>
    </w:p>
    <w:p w14:paraId="422BD7F0" w14:textId="77777777" w:rsidR="007F46B8" w:rsidRDefault="00961DF0" w:rsidP="00D579C9">
      <w:pPr>
        <w:spacing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（一）组织机构</w:t>
      </w:r>
    </w:p>
    <w:p w14:paraId="3B9DE24E" w14:textId="26AF3790" w:rsidR="007F46B8" w:rsidRDefault="00961DF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研究中心实行主任负责制。研究中心充分发挥</w:t>
      </w:r>
      <w:r w:rsidR="003A4EC8">
        <w:rPr>
          <w:rFonts w:ascii="Times New Roman" w:eastAsia="仿宋" w:hAnsi="Times New Roman" w:cs="Times New Roman" w:hint="eastAsia"/>
          <w:sz w:val="32"/>
          <w:szCs w:val="32"/>
        </w:rPr>
        <w:t>我</w:t>
      </w:r>
      <w:r>
        <w:rPr>
          <w:rFonts w:ascii="Times New Roman" w:eastAsia="仿宋" w:hAnsi="Times New Roman" w:cs="Times New Roman" w:hint="eastAsia"/>
          <w:sz w:val="32"/>
          <w:szCs w:val="32"/>
        </w:rPr>
        <w:t>校现有的人才</w:t>
      </w:r>
      <w:r w:rsidR="003A4EC8">
        <w:rPr>
          <w:rFonts w:ascii="Times New Roman" w:eastAsia="仿宋" w:hAnsi="Times New Roman" w:cs="Times New Roman" w:hint="eastAsia"/>
          <w:sz w:val="32"/>
          <w:szCs w:val="32"/>
        </w:rPr>
        <w:t>与华东政法大学立法研究院的人才</w:t>
      </w:r>
      <w:r>
        <w:rPr>
          <w:rFonts w:ascii="Times New Roman" w:eastAsia="仿宋" w:hAnsi="Times New Roman" w:cs="Times New Roman" w:hint="eastAsia"/>
          <w:sz w:val="32"/>
          <w:szCs w:val="32"/>
        </w:rPr>
        <w:t>优势，通过合作，构建一支</w:t>
      </w:r>
      <w:r w:rsidR="003A4EC8" w:rsidRPr="003A4EC8">
        <w:rPr>
          <w:rFonts w:ascii="Times New Roman" w:eastAsia="仿宋" w:hAnsi="Times New Roman" w:cs="Times New Roman" w:hint="eastAsia"/>
          <w:bCs/>
          <w:sz w:val="32"/>
          <w:szCs w:val="32"/>
        </w:rPr>
        <w:t>财经立法教研</w:t>
      </w:r>
      <w:r>
        <w:rPr>
          <w:rFonts w:ascii="Times New Roman" w:eastAsia="仿宋" w:hAnsi="Times New Roman" w:cs="Times New Roman" w:hint="eastAsia"/>
          <w:sz w:val="32"/>
          <w:szCs w:val="32"/>
        </w:rPr>
        <w:t>的研究团队。</w:t>
      </w:r>
    </w:p>
    <w:p w14:paraId="2707DBFE" w14:textId="77777777" w:rsidR="007F46B8" w:rsidRDefault="00961DF0" w:rsidP="00D579C9">
      <w:pPr>
        <w:spacing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（二）人员设置及职责</w:t>
      </w:r>
    </w:p>
    <w:p w14:paraId="1316E33E" w14:textId="77777777" w:rsidR="007F46B8" w:rsidRDefault="00961DF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研究中心设主任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名，负责研究中心的总体筹划、管理及学术研究工作，任期三年，可连任；</w:t>
      </w:r>
    </w:p>
    <w:p w14:paraId="40C98054" w14:textId="77777777" w:rsidR="007F46B8" w:rsidRDefault="00961DF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研究中心设副主任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名，协助主任开展工作，分别负责学术研究和实践研究工作；</w:t>
      </w:r>
    </w:p>
    <w:p w14:paraId="0D4CF873" w14:textId="3ABE180E" w:rsidR="007F46B8" w:rsidRDefault="00961DF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研究中心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设理论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部主任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名，理论部主任负责</w:t>
      </w:r>
      <w:r w:rsidR="003A4EC8" w:rsidRPr="003A4EC8">
        <w:rPr>
          <w:rFonts w:ascii="Times New Roman" w:eastAsia="仿宋" w:hAnsi="Times New Roman" w:cs="Times New Roman" w:hint="eastAsia"/>
          <w:bCs/>
          <w:sz w:val="32"/>
          <w:szCs w:val="32"/>
        </w:rPr>
        <w:t>财经立法教研</w:t>
      </w:r>
      <w:r>
        <w:rPr>
          <w:rFonts w:ascii="Times New Roman" w:eastAsia="仿宋" w:hAnsi="Times New Roman" w:cs="Times New Roman" w:hint="eastAsia"/>
          <w:sz w:val="32"/>
          <w:szCs w:val="32"/>
        </w:rPr>
        <w:t>理论研究的相关工作；</w:t>
      </w:r>
    </w:p>
    <w:p w14:paraId="5CE416C3" w14:textId="59C94F3F" w:rsidR="007F46B8" w:rsidRDefault="00961DF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研究中心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设实践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主任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名，实践部主任负责</w:t>
      </w:r>
      <w:r w:rsidR="003A4EC8" w:rsidRPr="003A4EC8">
        <w:rPr>
          <w:rFonts w:ascii="Times New Roman" w:eastAsia="仿宋" w:hAnsi="Times New Roman" w:cs="Times New Roman" w:hint="eastAsia"/>
          <w:bCs/>
          <w:sz w:val="32"/>
          <w:szCs w:val="32"/>
        </w:rPr>
        <w:t>财经立法教</w:t>
      </w:r>
      <w:r w:rsidR="003A4EC8" w:rsidRPr="003A4EC8">
        <w:rPr>
          <w:rFonts w:ascii="Times New Roman" w:eastAsia="仿宋" w:hAnsi="Times New Roman" w:cs="Times New Roman" w:hint="eastAsia"/>
          <w:bCs/>
          <w:sz w:val="32"/>
          <w:szCs w:val="32"/>
        </w:rPr>
        <w:lastRenderedPageBreak/>
        <w:t>研</w:t>
      </w:r>
      <w:r>
        <w:rPr>
          <w:rFonts w:ascii="Times New Roman" w:eastAsia="仿宋" w:hAnsi="Times New Roman" w:cs="Times New Roman" w:hint="eastAsia"/>
          <w:sz w:val="32"/>
          <w:szCs w:val="32"/>
        </w:rPr>
        <w:t>决策咨询、横向课题以及成果转化等方面的工作；</w:t>
      </w:r>
    </w:p>
    <w:p w14:paraId="738F75E3" w14:textId="77777777" w:rsidR="007F46B8" w:rsidRDefault="00961DF0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研究中心设研究成员</w:t>
      </w: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名，负责科研基础工作和决策咨询研究基础工作。</w:t>
      </w:r>
    </w:p>
    <w:p w14:paraId="61AA84C4" w14:textId="77777777" w:rsidR="007F46B8" w:rsidRDefault="00961DF0">
      <w:pPr>
        <w:numPr>
          <w:ilvl w:val="255"/>
          <w:numId w:val="0"/>
        </w:num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六、预期成果</w:t>
      </w:r>
    </w:p>
    <w:p w14:paraId="65B4446B" w14:textId="3D0966FA" w:rsidR="007F46B8" w:rsidRDefault="00961DF0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．</w:t>
      </w:r>
      <w:r>
        <w:rPr>
          <w:rFonts w:ascii="Times New Roman" w:eastAsia="仿宋" w:hAnsi="Times New Roman" w:cs="Times New Roman"/>
          <w:b/>
          <w:sz w:val="32"/>
          <w:szCs w:val="32"/>
        </w:rPr>
        <w:t>科学研究：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组织相关研究人员开展</w:t>
      </w:r>
      <w:r w:rsidR="003A4EC8" w:rsidRPr="003A4EC8">
        <w:rPr>
          <w:rFonts w:ascii="Times New Roman" w:eastAsia="仿宋" w:hAnsi="Times New Roman" w:cs="Times New Roman" w:hint="eastAsia"/>
          <w:bCs/>
          <w:sz w:val="32"/>
          <w:szCs w:val="32"/>
        </w:rPr>
        <w:t>财经立法教研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相关学术研究，包括发表相关学术论文、专著、专利、决策咨询成果、申报国家级等各级别课题项目等，争取在</w:t>
      </w:r>
      <w:r w:rsidR="003A4EC8" w:rsidRPr="003A4EC8">
        <w:rPr>
          <w:rFonts w:ascii="Times New Roman" w:eastAsia="仿宋" w:hAnsi="Times New Roman" w:cs="Times New Roman" w:hint="eastAsia"/>
          <w:bCs/>
          <w:sz w:val="32"/>
          <w:szCs w:val="32"/>
        </w:rPr>
        <w:t>财经立法教研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领域取得一批研究成果，进而提升学校在</w:t>
      </w:r>
      <w:r w:rsidR="003A4EC8" w:rsidRPr="003A4EC8">
        <w:rPr>
          <w:rFonts w:ascii="Times New Roman" w:eastAsia="仿宋" w:hAnsi="Times New Roman" w:cs="Times New Roman" w:hint="eastAsia"/>
          <w:bCs/>
          <w:sz w:val="32"/>
          <w:szCs w:val="32"/>
        </w:rPr>
        <w:t>财经立法教研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的地位和影响力。</w:t>
      </w:r>
    </w:p>
    <w:p w14:paraId="4FB1A851" w14:textId="6BCA80AA" w:rsidR="007F46B8" w:rsidRDefault="00961DF0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．</w:t>
      </w:r>
      <w:r>
        <w:rPr>
          <w:rFonts w:ascii="Times New Roman" w:eastAsia="仿宋" w:hAnsi="Times New Roman" w:cs="Times New Roman"/>
          <w:b/>
          <w:sz w:val="32"/>
          <w:szCs w:val="32"/>
        </w:rPr>
        <w:t>学术交流：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组织相关研究人员参加国内外学术会议和交流活动，组织召开</w:t>
      </w:r>
      <w:r w:rsidR="003A4EC8" w:rsidRPr="003A4EC8">
        <w:rPr>
          <w:rFonts w:ascii="Times New Roman" w:eastAsia="仿宋" w:hAnsi="Times New Roman" w:cs="Times New Roman" w:hint="eastAsia"/>
          <w:bCs/>
          <w:sz w:val="32"/>
          <w:szCs w:val="32"/>
        </w:rPr>
        <w:t>财经立法教研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相关学术会议、论坛，与相关单位开展合作研究、</w:t>
      </w:r>
      <w:r w:rsidR="00483A9C">
        <w:rPr>
          <w:rFonts w:ascii="Times New Roman" w:eastAsia="仿宋" w:hAnsi="Times New Roman" w:cs="Times New Roman" w:hint="eastAsia"/>
          <w:bCs/>
          <w:sz w:val="32"/>
          <w:szCs w:val="32"/>
        </w:rPr>
        <w:t>专项调研，加强与国内外一流科研机构的合作与交流，进而扩大学校法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学院在国内外的知名度和影响力。</w:t>
      </w:r>
    </w:p>
    <w:p w14:paraId="3A0A1B4C" w14:textId="77777777" w:rsidR="007F46B8" w:rsidRDefault="00961DF0">
      <w:pPr>
        <w:spacing w:line="560" w:lineRule="exact"/>
        <w:ind w:firstLine="640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．</w:t>
      </w:r>
      <w:r>
        <w:rPr>
          <w:rFonts w:ascii="Times New Roman" w:eastAsia="仿宋" w:hAnsi="Times New Roman" w:cs="Times New Roman"/>
          <w:b/>
          <w:sz w:val="32"/>
          <w:szCs w:val="32"/>
        </w:rPr>
        <w:t>社会服务：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承担相关政府部门、事业单位和企业行业等委托课题，</w:t>
      </w:r>
      <w:proofErr w:type="gramStart"/>
      <w:r>
        <w:rPr>
          <w:rFonts w:ascii="Times New Roman" w:eastAsia="仿宋" w:hAnsi="Times New Roman" w:cs="Times New Roman" w:hint="eastAsia"/>
          <w:bCs/>
          <w:sz w:val="32"/>
          <w:szCs w:val="32"/>
        </w:rPr>
        <w:t>发挥智库作用</w:t>
      </w:r>
      <w:proofErr w:type="gramEnd"/>
      <w:r>
        <w:rPr>
          <w:rFonts w:ascii="Times New Roman" w:eastAsia="仿宋" w:hAnsi="Times New Roman" w:cs="Times New Roman" w:hint="eastAsia"/>
          <w:bCs/>
          <w:sz w:val="32"/>
          <w:szCs w:val="32"/>
        </w:rPr>
        <w:t>，为政府部门和企业提供有效的技术支持和咨询服务。</w:t>
      </w:r>
    </w:p>
    <w:p w14:paraId="5428A53B" w14:textId="3A70EE57" w:rsidR="007F46B8" w:rsidRDefault="00961DF0">
      <w:pPr>
        <w:spacing w:line="56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</w:rPr>
        <w:t>根据《</w:t>
      </w:r>
      <w:bookmarkStart w:id="8" w:name="OLE_LINK2"/>
      <w:r>
        <w:rPr>
          <w:rFonts w:ascii="Times New Roman" w:eastAsia="仿宋" w:hAnsi="Times New Roman" w:cs="Times New Roman" w:hint="eastAsia"/>
          <w:bCs/>
          <w:sz w:val="32"/>
          <w:szCs w:val="32"/>
        </w:rPr>
        <w:t>上海立信会计金融学院科研机构管理办法</w:t>
      </w:r>
      <w:bookmarkEnd w:id="8"/>
      <w:r>
        <w:rPr>
          <w:rFonts w:ascii="Times New Roman" w:eastAsia="仿宋" w:hAnsi="Times New Roman" w:cs="Times New Roman" w:hint="eastAsia"/>
          <w:bCs/>
          <w:sz w:val="32"/>
          <w:szCs w:val="32"/>
        </w:rPr>
        <w:t>》，</w:t>
      </w:r>
      <w:r>
        <w:rPr>
          <w:rFonts w:ascii="Times New Roman" w:eastAsia="仿宋" w:hAnsi="Times New Roman" w:cs="Times New Roman"/>
          <w:bCs/>
          <w:sz w:val="32"/>
          <w:szCs w:val="32"/>
        </w:rPr>
        <w:t>每</w:t>
      </w:r>
      <w:r w:rsidR="003E4F23">
        <w:rPr>
          <w:rFonts w:ascii="Times New Roman" w:eastAsia="仿宋" w:hAnsi="Times New Roman" w:cs="Times New Roman" w:hint="eastAsia"/>
          <w:bCs/>
          <w:sz w:val="32"/>
          <w:szCs w:val="32"/>
        </w:rPr>
        <w:t>五</w:t>
      </w:r>
      <w:r>
        <w:rPr>
          <w:rFonts w:ascii="Times New Roman" w:eastAsia="仿宋" w:hAnsi="Times New Roman" w:cs="Times New Roman"/>
          <w:bCs/>
          <w:sz w:val="32"/>
          <w:szCs w:val="32"/>
        </w:rPr>
        <w:t>年</w:t>
      </w:r>
      <w:r w:rsidR="003E4F23">
        <w:rPr>
          <w:rFonts w:ascii="Times New Roman" w:eastAsia="仿宋" w:hAnsi="Times New Roman" w:cs="Times New Roman" w:hint="eastAsia"/>
          <w:bCs/>
          <w:sz w:val="32"/>
          <w:szCs w:val="32"/>
        </w:rPr>
        <w:t>至少</w:t>
      </w:r>
      <w:r>
        <w:rPr>
          <w:rFonts w:ascii="Times New Roman" w:eastAsia="仿宋" w:hAnsi="Times New Roman" w:cs="Times New Roman"/>
          <w:bCs/>
          <w:sz w:val="32"/>
          <w:szCs w:val="32"/>
        </w:rPr>
        <w:t>1</w:t>
      </w:r>
      <w:r w:rsidR="003E4F23">
        <w:rPr>
          <w:rFonts w:ascii="Times New Roman" w:eastAsia="仿宋" w:hAnsi="Times New Roman" w:cs="Times New Roman" w:hint="eastAsia"/>
          <w:bCs/>
          <w:sz w:val="32"/>
          <w:szCs w:val="32"/>
        </w:rPr>
        <w:t>项课题</w:t>
      </w:r>
      <w:r w:rsidR="00266B7B">
        <w:rPr>
          <w:rFonts w:ascii="Times New Roman" w:eastAsia="仿宋" w:hAnsi="Times New Roman" w:cs="Times New Roman" w:hint="eastAsia"/>
          <w:bCs/>
          <w:sz w:val="32"/>
          <w:szCs w:val="32"/>
        </w:rPr>
        <w:t>获</w:t>
      </w:r>
      <w:r>
        <w:rPr>
          <w:rFonts w:ascii="Times New Roman" w:eastAsia="仿宋" w:hAnsi="Times New Roman" w:cs="Times New Roman"/>
          <w:bCs/>
          <w:sz w:val="32"/>
          <w:szCs w:val="32"/>
        </w:rPr>
        <w:t>省</w:t>
      </w:r>
      <w:r w:rsidR="00266B7B">
        <w:rPr>
          <w:rFonts w:ascii="Times New Roman" w:eastAsia="仿宋" w:hAnsi="Times New Roman" w:cs="Times New Roman" w:hint="eastAsia"/>
          <w:bCs/>
          <w:sz w:val="32"/>
          <w:szCs w:val="32"/>
        </w:rPr>
        <w:t>部</w:t>
      </w:r>
      <w:r w:rsidR="003E4F23">
        <w:rPr>
          <w:rFonts w:ascii="Times New Roman" w:eastAsia="仿宋" w:hAnsi="Times New Roman" w:cs="Times New Roman"/>
          <w:bCs/>
          <w:sz w:val="32"/>
          <w:szCs w:val="32"/>
        </w:rPr>
        <w:t>级及以上</w:t>
      </w:r>
      <w:r w:rsidR="003E4F23">
        <w:rPr>
          <w:rFonts w:ascii="Times New Roman" w:eastAsia="仿宋" w:hAnsi="Times New Roman" w:cs="Times New Roman" w:hint="eastAsia"/>
          <w:bCs/>
          <w:sz w:val="32"/>
          <w:szCs w:val="32"/>
        </w:rPr>
        <w:t>课题立项</w:t>
      </w:r>
      <w:r>
        <w:rPr>
          <w:rFonts w:ascii="仿宋" w:eastAsia="仿宋" w:hAnsi="仿宋" w:hint="eastAsia"/>
          <w:color w:val="000000"/>
          <w:sz w:val="32"/>
          <w:szCs w:val="32"/>
        </w:rPr>
        <w:t>；三年内需入账科研经费不少于</w:t>
      </w:r>
      <w:r w:rsidR="003E4F23"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 w:rsidR="003E4F23">
        <w:rPr>
          <w:rFonts w:ascii="仿宋" w:eastAsia="仿宋" w:hAnsi="仿宋" w:hint="eastAsia"/>
          <w:color w:val="000000"/>
          <w:sz w:val="32"/>
          <w:szCs w:val="32"/>
        </w:rPr>
        <w:t>万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14:paraId="6D931765" w14:textId="77777777" w:rsidR="007F46B8" w:rsidRDefault="007F46B8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</w:p>
    <w:p w14:paraId="3EF57414" w14:textId="77777777" w:rsidR="007F46B8" w:rsidRDefault="007F46B8">
      <w:pPr>
        <w:spacing w:line="300" w:lineRule="auto"/>
        <w:rPr>
          <w:rFonts w:ascii="Times New Roman" w:hAnsi="Times New Roman" w:cs="Times New Roman"/>
          <w:b/>
          <w:sz w:val="24"/>
        </w:rPr>
      </w:pPr>
    </w:p>
    <w:sectPr w:rsidR="007F46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4D3F0" w14:textId="77777777" w:rsidR="00C30998" w:rsidRDefault="00C30998">
      <w:r>
        <w:separator/>
      </w:r>
    </w:p>
  </w:endnote>
  <w:endnote w:type="continuationSeparator" w:id="0">
    <w:p w14:paraId="61AB0D7E" w14:textId="77777777" w:rsidR="00C30998" w:rsidRDefault="00C3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B748E" w14:textId="5FECD948" w:rsidR="007F46B8" w:rsidRDefault="00961DF0">
    <w:pPr>
      <w:pStyle w:val="a5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 w:rsidR="005149C3" w:rsidRPr="005149C3">
      <w:rPr>
        <w:rFonts w:ascii="Times New Roman" w:hAnsi="Times New Roman" w:cs="Times New Roman"/>
        <w:noProof/>
        <w:sz w:val="21"/>
        <w:szCs w:val="21"/>
        <w:lang w:val="zh-CN"/>
      </w:rPr>
      <w:t>3</w:t>
    </w:r>
    <w:r>
      <w:rPr>
        <w:rFonts w:ascii="Times New Roman" w:hAnsi="Times New Roman" w:cs="Times New Roman"/>
        <w:sz w:val="21"/>
        <w:szCs w:val="21"/>
      </w:rPr>
      <w:fldChar w:fldCharType="end"/>
    </w:r>
  </w:p>
  <w:p w14:paraId="53B27C07" w14:textId="77777777" w:rsidR="007F46B8" w:rsidRDefault="007F46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B55F8" w14:textId="77777777" w:rsidR="00C30998" w:rsidRDefault="00C30998">
      <w:r>
        <w:separator/>
      </w:r>
    </w:p>
  </w:footnote>
  <w:footnote w:type="continuationSeparator" w:id="0">
    <w:p w14:paraId="3F8B8604" w14:textId="77777777" w:rsidR="00C30998" w:rsidRDefault="00C3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742D8"/>
    <w:multiLevelType w:val="singleLevel"/>
    <w:tmpl w:val="9EC8910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B8"/>
    <w:rsid w:val="00266B7B"/>
    <w:rsid w:val="002C2827"/>
    <w:rsid w:val="0032751F"/>
    <w:rsid w:val="003A4EC8"/>
    <w:rsid w:val="003E4F23"/>
    <w:rsid w:val="0042078C"/>
    <w:rsid w:val="00483A9C"/>
    <w:rsid w:val="005149C3"/>
    <w:rsid w:val="00595135"/>
    <w:rsid w:val="00596725"/>
    <w:rsid w:val="007F46B8"/>
    <w:rsid w:val="007F66FF"/>
    <w:rsid w:val="00951C94"/>
    <w:rsid w:val="00961DF0"/>
    <w:rsid w:val="009B0209"/>
    <w:rsid w:val="00AB30EF"/>
    <w:rsid w:val="00B36DE8"/>
    <w:rsid w:val="00C30998"/>
    <w:rsid w:val="00C639B3"/>
    <w:rsid w:val="00C65251"/>
    <w:rsid w:val="00D50FF3"/>
    <w:rsid w:val="00D5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176E41"/>
  <w15:docId w15:val="{C71267CC-14D3-4312-AB6A-DB3A4F14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character" w:customStyle="1" w:styleId="a8">
    <w:name w:val="页眉 字符"/>
    <w:basedOn w:val="a0"/>
    <w:link w:val="a7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1">
    <w:name w:val="修订1"/>
    <w:uiPriority w:val="99"/>
    <w:qFormat/>
    <w:rPr>
      <w:rFonts w:ascii="Calibri" w:hAnsi="Calibri" w:cs="宋体"/>
      <w:kern w:val="2"/>
      <w:sz w:val="21"/>
      <w:szCs w:val="24"/>
    </w:rPr>
  </w:style>
  <w:style w:type="character" w:styleId="aa">
    <w:name w:val="annotation reference"/>
    <w:basedOn w:val="a0"/>
    <w:rPr>
      <w:sz w:val="21"/>
      <w:szCs w:val="21"/>
    </w:rPr>
  </w:style>
  <w:style w:type="paragraph" w:styleId="ab">
    <w:name w:val="annotation text"/>
    <w:basedOn w:val="a"/>
    <w:link w:val="ac"/>
    <w:pPr>
      <w:jc w:val="left"/>
    </w:pPr>
  </w:style>
  <w:style w:type="character" w:customStyle="1" w:styleId="ac">
    <w:name w:val="批注文字 字符"/>
    <w:basedOn w:val="a0"/>
    <w:link w:val="ab"/>
    <w:rPr>
      <w:rFonts w:ascii="Calibri" w:eastAsia="宋体" w:hAnsi="Calibri" w:cs="宋体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Pr>
      <w:b/>
      <w:bCs/>
    </w:rPr>
  </w:style>
  <w:style w:type="character" w:customStyle="1" w:styleId="ae">
    <w:name w:val="批注主题 字符"/>
    <w:basedOn w:val="ac"/>
    <w:link w:val="ad"/>
    <w:rPr>
      <w:rFonts w:ascii="Calibri" w:eastAsia="宋体" w:hAnsi="Calibri" w:cs="宋体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FE3CE-CF22-447C-ACBA-F9D6811F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libin</dc:creator>
  <cp:lastModifiedBy>admin</cp:lastModifiedBy>
  <cp:revision>9</cp:revision>
  <dcterms:created xsi:type="dcterms:W3CDTF">2025-06-20T08:56:00Z</dcterms:created>
  <dcterms:modified xsi:type="dcterms:W3CDTF">2025-07-01T07:29:00Z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2ce9735e13a14bc9838303cc5756d72f_23</vt:lpwstr>
  </property>
  <property fmtid="{D5CDD505-2E9C-101B-9397-08002B2CF9AE}" pid="4" name="KSOTemplateDocerSaveRecord">
    <vt:lpwstr>eyJoZGlkIjoiNmEyNGI2MDVmZDE3OWJmZWY5ZjM4M2UxZjk0MTBlOGEiLCJ1c2VySWQiOiI1MjMxODM2MDMifQ==</vt:lpwstr>
  </property>
</Properties>
</file>